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Osteoporosis (T-score&lt;=-2.5, age&gt;=50)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Elevated AST (&gt;40 IU/L) was positively associated with Osteoporosis (T-score&lt;=-2.5, age&gt;=50) (odds ratio 1.23 (95% CI 0.70 to 2.17), false discovery rate q 0.524) among 3383 adults aged 20 years or older (a weighted Osteoporosis (T-score&lt;=-2.5, age&gt;=50) prevalence of 31.8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1.23 (95% CI 0.70 to 2.17)</w:t>
            </w:r>
          </w:p>
        </w:tc>
        <w:tc>
          <w:tcPr>
            <w:tcW w:type="dxa" w:w="1234"/>
          </w:tcPr>
          <w:p>
            <w:r>
              <w:t>0.475</w:t>
            </w:r>
          </w:p>
        </w:tc>
        <w:tc>
          <w:tcPr>
            <w:tcW w:type="dxa" w:w="1234"/>
          </w:tcPr>
          <w:p>
            <w:r>
              <w:t>0.524</w:t>
            </w:r>
          </w:p>
        </w:tc>
        <w:tc>
          <w:tcPr>
            <w:tcW w:type="dxa" w:w="1234"/>
          </w:tcPr>
          <w:p>
            <w:r>
              <w:t>3383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Elevated AST (&gt;40 IU/L) (exposure)</w:t>
            </w:r>
          </w:p>
        </w:tc>
        <w:tc>
          <w:tcPr>
            <w:tcW w:type="dxa" w:w="2160"/>
          </w:tcPr>
          <w:p>
            <w:r>
              <w:t>5.4%</w:t>
            </w:r>
          </w:p>
        </w:tc>
        <w:tc>
          <w:tcPr>
            <w:tcW w:type="dxa" w:w="2160"/>
          </w:tcPr>
          <w:p>
            <w:r>
              <w:t>5.7%</w:t>
            </w:r>
          </w:p>
        </w:tc>
        <w:tc>
          <w:tcPr>
            <w:tcW w:type="dxa" w:w="2160"/>
          </w:tcPr>
          <w:p>
            <w:r>
              <w:t>4.8%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62.3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57.7%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  <w:tc>
          <w:tcPr>
            <w:tcW w:type="dxa" w:w="2160"/>
          </w:tcPr>
          <w:p>
            <w:r>
              <w:t>64.4%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