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inversely associated with Osteoporosis (T-score&lt;=-2.5, age&gt;=50) (odds ratio per 1-SD 0.95 (95% CI 0.84 to 1.08), false discovery rate q 0.492)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0.84 to 1.08)</w:t>
            </w:r>
          </w:p>
        </w:tc>
        <w:tc>
          <w:tcPr>
            <w:tcW w:type="dxa" w:w="1234"/>
          </w:tcPr>
          <w:p>
            <w:r>
              <w:t>0.442</w:t>
            </w:r>
          </w:p>
        </w:tc>
        <w:tc>
          <w:tcPr>
            <w:tcW w:type="dxa" w:w="1234"/>
          </w:tcPr>
          <w:p>
            <w:r>
              <w:t>0.492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13.3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