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was positively associated with Osteoporosis (T-score&lt;=-2.5, age&gt;=50) (odds ratio 1.20 (95% CI 0.86 to 1.66), false discovery rate q 0.323)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0.86 to 1.66)</w:t>
            </w:r>
          </w:p>
        </w:tc>
        <w:tc>
          <w:tcPr>
            <w:tcW w:type="dxa" w:w="1234"/>
          </w:tcPr>
          <w:p>
            <w:r>
              <w:t>0.277</w:t>
            </w:r>
          </w:p>
        </w:tc>
        <w:tc>
          <w:tcPr>
            <w:tcW w:type="dxa" w:w="1234"/>
          </w:tcPr>
          <w:p>
            <w:r>
              <w:t>0.323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Hepatic steatosis (exposure)</w:t>
            </w:r>
          </w:p>
        </w:tc>
        <w:tc>
          <w:tcPr>
            <w:tcW w:type="dxa" w:w="2160"/>
          </w:tcPr>
          <w:p>
            <w:r>
              <w:t>22.8%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  <w:tc>
          <w:tcPr>
            <w:tcW w:type="dxa" w:w="2160"/>
          </w:tcPr>
          <w:p>
            <w:r>
              <w:t>17.9%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