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Osteoporosis (T-score&lt;=-2.5, age&gt;=50)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Hypertriglyceridemia (NCEP TG&gt;=150) was positively associated with Osteoporosis (T-score&lt;=-2.5, age&gt;=50) (odds ratio 1.07 (95% CI 0.85 to 1.35), false discovery rate q 0.599) among 3383 adults aged 20 years or older (a weighted Osteoporosis (T-score&lt;=-2.5, age&gt;=50) prevalence of 31.8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1.07 (95% CI 0.85 to 1.35)</w:t>
            </w:r>
          </w:p>
        </w:tc>
        <w:tc>
          <w:tcPr>
            <w:tcW w:type="dxa" w:w="1234"/>
          </w:tcPr>
          <w:p>
            <w:r>
              <w:t>0.552</w:t>
            </w:r>
          </w:p>
        </w:tc>
        <w:tc>
          <w:tcPr>
            <w:tcW w:type="dxa" w:w="1234"/>
          </w:tcPr>
          <w:p>
            <w:r>
              <w:t>0.599</w:t>
            </w:r>
          </w:p>
        </w:tc>
        <w:tc>
          <w:tcPr>
            <w:tcW w:type="dxa" w:w="1234"/>
          </w:tcPr>
          <w:p>
            <w:r>
              <w:t>3383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Hypertriglyceridemia (NCEP TG&gt;=150) (exposure)</w:t>
            </w:r>
          </w:p>
        </w:tc>
        <w:tc>
          <w:tcPr>
            <w:tcW w:type="dxa" w:w="2160"/>
          </w:tcPr>
          <w:p>
            <w:r>
              <w:t>36.8%</w:t>
            </w:r>
          </w:p>
        </w:tc>
        <w:tc>
          <w:tcPr>
            <w:tcW w:type="dxa" w:w="2160"/>
          </w:tcPr>
          <w:p>
            <w:r>
              <w:t>38.1%</w:t>
            </w:r>
          </w:p>
        </w:tc>
        <w:tc>
          <w:tcPr>
            <w:tcW w:type="dxa" w:w="2160"/>
          </w:tcPr>
          <w:p>
            <w:r>
              <w:t>33.8%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62.3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  <w:tc>
          <w:tcPr>
            <w:tcW w:type="dxa" w:w="2160"/>
          </w:tcPr>
          <w:p>
            <w:r>
              <w:t>67.5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57.7%</w:t>
            </w:r>
          </w:p>
        </w:tc>
        <w:tc>
          <w:tcPr>
            <w:tcW w:type="dxa" w:w="2160"/>
          </w:tcPr>
          <w:p>
            <w:r>
              <w:t>19.1%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23.2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  <w:tc>
          <w:tcPr>
            <w:tcW w:type="dxa" w:w="2160"/>
          </w:tcPr>
          <w:p>
            <w:r>
              <w:t>25.0%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84.8%</w:t>
            </w:r>
          </w:p>
        </w:tc>
        <w:tc>
          <w:tcPr>
            <w:tcW w:type="dxa" w:w="2160"/>
          </w:tcPr>
          <w:p>
            <w:r>
              <w:t>64.4%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