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inversely associated with Osteoporosis (T-score&lt;=-2.5, age&gt;=50) (odds ratio 0.41 (95% CI 0.33 to 0.52), false discovery rate q &lt;0.001) among 3383 adults aged 20 years or older (a weighted Osteoporosis (T-score&lt;=-2.5, age&gt;=50) prevalence of 31.8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0.41 (95% CI 0.33 to 0.52)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62.8%</w:t>
            </w:r>
          </w:p>
        </w:tc>
        <w:tc>
          <w:tcPr>
            <w:tcW w:type="dxa" w:w="2160"/>
          </w:tcPr>
          <w:p>
            <w:r>
              <w:t>68.1%</w:t>
            </w:r>
          </w:p>
        </w:tc>
        <w:tc>
          <w:tcPr>
            <w:tcW w:type="dxa" w:w="2160"/>
          </w:tcPr>
          <w:p>
            <w:r>
              <w:t>51.6%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