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Osteoporosis (T-score&lt;=-2.5, age&gt;=50) (odds ratio per 1-SD 1.08 (95% CI 0.95 to 1.22), false discovery rate q 0.269)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0.95 to 1.22)</w:t>
            </w:r>
          </w:p>
        </w:tc>
        <w:tc>
          <w:tcPr>
            <w:tcW w:type="dxa" w:w="1234"/>
          </w:tcPr>
          <w:p>
            <w:r>
              <w:t>0.227</w:t>
            </w:r>
          </w:p>
        </w:tc>
        <w:tc>
          <w:tcPr>
            <w:tcW w:type="dxa" w:w="1234"/>
          </w:tcPr>
          <w:p>
            <w:r>
              <w:t>0.269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249.9</w:t>
            </w:r>
          </w:p>
        </w:tc>
        <w:tc>
          <w:tcPr>
            <w:tcW w:type="dxa" w:w="2160"/>
          </w:tcPr>
          <w:p>
            <w:r>
              <w:t>246.9</w:t>
            </w:r>
          </w:p>
        </w:tc>
        <w:tc>
          <w:tcPr>
            <w:tcW w:type="dxa" w:w="2160"/>
          </w:tcPr>
          <w:p>
            <w:r>
              <w:t>256.9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