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Osteoporosis (T-score&lt;=-2.5, age&gt;=50) (odds ratio per 1-SD 1.03 (95% CI 0.93 to 1.13), false discovery rate q 0.651)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0.93 to 1.13)</w:t>
            </w:r>
          </w:p>
        </w:tc>
        <w:tc>
          <w:tcPr>
            <w:tcW w:type="dxa" w:w="1234"/>
          </w:tcPr>
          <w:p>
            <w:r>
              <w:t>0.607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127.5</w:t>
            </w:r>
          </w:p>
        </w:tc>
        <w:tc>
          <w:tcPr>
            <w:tcW w:type="dxa" w:w="2160"/>
          </w:tcPr>
          <w:p>
            <w:r>
              <w:t>126.5</w:t>
            </w:r>
          </w:p>
        </w:tc>
        <w:tc>
          <w:tcPr>
            <w:tcW w:type="dxa" w:w="2160"/>
          </w:tcPr>
          <w:p>
            <w:r>
              <w:t>129.7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