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Osteoporosis (T-score&lt;=-2.5, age&gt;=50) (odds ratio per 1-SD 1.02 (95% CI 0.90 to 1.15), false discovery rate q 0.834)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0.90 to 1.15)</w:t>
            </w:r>
          </w:p>
        </w:tc>
        <w:tc>
          <w:tcPr>
            <w:tcW w:type="dxa" w:w="1234"/>
          </w:tcPr>
          <w:p>
            <w:r>
              <w:t>0.804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195.8</w:t>
            </w:r>
          </w:p>
        </w:tc>
        <w:tc>
          <w:tcPr>
            <w:tcW w:type="dxa" w:w="2160"/>
          </w:tcPr>
          <w:p>
            <w:r>
              <w:t>195.0</w:t>
            </w:r>
          </w:p>
        </w:tc>
        <w:tc>
          <w:tcPr>
            <w:tcW w:type="dxa" w:w="2160"/>
          </w:tcPr>
          <w:p>
            <w:r>
              <w:t>197.9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