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Triglycerides, mg/dL and Osteoporosis (T-score&lt;=-2.5, age&gt;=50)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Triglycerides, mg/dL was positively associated with Osteoporosis (T-score&lt;=-2.5, age&gt;=50) (odds ratio per 1-SD 1.12 (95% CI 0.99 to 1.27), false discovery rate q 0.081) among 3383 adults aged 20 years or older (a weighted Osteoporosis (T-score&lt;=-2.5, age&gt;=50) prevalence of 31.8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1.12 (95% CI 0.99 to 1.27)</w:t>
            </w:r>
          </w:p>
        </w:tc>
        <w:tc>
          <w:tcPr>
            <w:tcW w:type="dxa" w:w="1234"/>
          </w:tcPr>
          <w:p>
            <w:r>
              <w:t>0.063</w:t>
            </w:r>
          </w:p>
        </w:tc>
        <w:tc>
          <w:tcPr>
            <w:tcW w:type="dxa" w:w="1234"/>
          </w:tcPr>
          <w:p>
            <w:r>
              <w:t>0.081</w:t>
            </w:r>
          </w:p>
        </w:tc>
        <w:tc>
          <w:tcPr>
            <w:tcW w:type="dxa" w:w="1234"/>
          </w:tcPr>
          <w:p>
            <w:r>
              <w:t>3383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Osteoporosis (T-score&lt;=-2.5, age&gt;=50)</w:t>
            </w:r>
          </w:p>
        </w:tc>
        <w:tc>
          <w:tcPr>
            <w:tcW w:type="dxa" w:w="2160"/>
          </w:tcPr>
          <w:p>
            <w:r>
              <w:t>Osteoporosis (T-score&lt;=-2.5, age&gt;=50)</w:t>
            </w:r>
          </w:p>
        </w:tc>
      </w:tr>
      <w:tr>
        <w:tc>
          <w:tcPr>
            <w:tcW w:type="dxa" w:w="2160"/>
          </w:tcPr>
          <w:p>
            <w:r>
              <w:t>Triglycerides, mg/dL (exposure)</w:t>
            </w:r>
          </w:p>
        </w:tc>
        <w:tc>
          <w:tcPr>
            <w:tcW w:type="dxa" w:w="2160"/>
          </w:tcPr>
          <w:p>
            <w:r>
              <w:t>152.8</w:t>
            </w:r>
          </w:p>
        </w:tc>
        <w:tc>
          <w:tcPr>
            <w:tcW w:type="dxa" w:w="2160"/>
          </w:tcPr>
          <w:p>
            <w:r>
              <w:t>155.9</w:t>
            </w:r>
          </w:p>
        </w:tc>
        <w:tc>
          <w:tcPr>
            <w:tcW w:type="dxa" w:w="2160"/>
          </w:tcPr>
          <w:p>
            <w:r>
              <w:t>145.7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62.3</w:t>
            </w:r>
          </w:p>
        </w:tc>
        <w:tc>
          <w:tcPr>
            <w:tcW w:type="dxa" w:w="2160"/>
          </w:tcPr>
          <w:p>
            <w:r>
              <w:t>59.9</w:t>
            </w:r>
          </w:p>
        </w:tc>
        <w:tc>
          <w:tcPr>
            <w:tcW w:type="dxa" w:w="2160"/>
          </w:tcPr>
          <w:p>
            <w:r>
              <w:t>67.5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45.4%</w:t>
            </w:r>
          </w:p>
        </w:tc>
        <w:tc>
          <w:tcPr>
            <w:tcW w:type="dxa" w:w="2160"/>
          </w:tcPr>
          <w:p>
            <w:r>
              <w:t>57.7%</w:t>
            </w:r>
          </w:p>
        </w:tc>
        <w:tc>
          <w:tcPr>
            <w:tcW w:type="dxa" w:w="2160"/>
          </w:tcPr>
          <w:p>
            <w:r>
              <w:t>19.1%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  <w:tc>
          <w:tcPr>
            <w:tcW w:type="dxa" w:w="2160"/>
          </w:tcPr>
          <w:p>
            <w:r>
              <w:t>23.2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52.3%</w:t>
            </w:r>
          </w:p>
        </w:tc>
        <w:tc>
          <w:tcPr>
            <w:tcW w:type="dxa" w:w="2160"/>
          </w:tcPr>
          <w:p>
            <w:r>
              <w:t>25.0%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78.3%</w:t>
            </w:r>
          </w:p>
        </w:tc>
        <w:tc>
          <w:tcPr>
            <w:tcW w:type="dxa" w:w="2160"/>
          </w:tcPr>
          <w:p>
            <w:r>
              <w:t>84.8%</w:t>
            </w:r>
          </w:p>
        </w:tc>
        <w:tc>
          <w:tcPr>
            <w:tcW w:type="dxa" w:w="2160"/>
          </w:tcPr>
          <w:p>
            <w:r>
              <w:t>64.4%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