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Osteoporosis (T-score&lt;=-2.5, age&gt;=50) (odds ratio 1.20 (95% CI 0.95 to 1.51), false discovery rate q 0.162)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0.95 to 1.51)</w:t>
            </w:r>
          </w:p>
        </w:tc>
        <w:tc>
          <w:tcPr>
            <w:tcW w:type="dxa" w:w="1234"/>
          </w:tcPr>
          <w:p>
            <w:r>
              <w:t>0.132</w:t>
            </w:r>
          </w:p>
        </w:tc>
        <w:tc>
          <w:tcPr>
            <w:tcW w:type="dxa" w:w="1234"/>
          </w:tcPr>
          <w:p>
            <w:r>
              <w:t>0.162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58.3%</w:t>
            </w:r>
          </w:p>
        </w:tc>
        <w:tc>
          <w:tcPr>
            <w:tcW w:type="dxa" w:w="2160"/>
          </w:tcPr>
          <w:p>
            <w:r>
              <w:t>56.5%</w:t>
            </w:r>
          </w:p>
        </w:tc>
        <w:tc>
          <w:tcPr>
            <w:tcW w:type="dxa" w:w="2160"/>
          </w:tcPr>
          <w:p>
            <w:r>
              <w:t>62.5%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