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inversely associated with Osteoporosis (T-score&lt;=-2.5, age&gt;=50) (odds ratio per 1-SD 0.41 (95% CI 0.36 to 0.47), false discovery rate q &lt;0.001) among 3383 adults aged 20 years or older (a weighted Osteoporosis (T-score&lt;=-2.5, age&gt;=50) prevalence of 31.8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0.41 (95% CI 0.36 to 0.47)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61.2</w:t>
            </w:r>
          </w:p>
        </w:tc>
        <w:tc>
          <w:tcPr>
            <w:tcW w:type="dxa" w:w="2160"/>
          </w:tcPr>
          <w:p>
            <w:r>
              <w:t>64.3</w:t>
            </w:r>
          </w:p>
        </w:tc>
        <w:tc>
          <w:tcPr>
            <w:tcW w:type="dxa" w:w="2160"/>
          </w:tcPr>
          <w:p>
            <w:r>
              <w:t>54.7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