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Overweight (KSSO &gt;=23 / WHO &gt;=25, country-specific) (odds ratio 0.56 (95% CI 0.49 to 0.65),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0.56 (95% CI 0.49 to 0.65)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2.7%</w:t>
            </w:r>
          </w:p>
        </w:tc>
        <w:tc>
          <w:tcPr>
            <w:tcW w:type="dxa" w:w="2160"/>
          </w:tcPr>
          <w:p>
            <w:r>
              <w:t>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