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Age, years and Overweight (KSSO &gt;=23 / WHO &gt;=25, country-specific)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Age, years was positively associated with Overweight (KSSO &gt;=23 / WHO &gt;=25, country-specific) (odds ratio per 1-SD 1.27 (95% CI 1.24 to 1.30), false discovery rate q &lt;0.001) among 37315 adults aged 20 years or older (a weighted Overweight (KSSO &gt;=23 / WHO &gt;=25, country-specific) prevalence of 57.8 percent, survey-weighted). Confounders: unadjusted.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unadjusted.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Age, years</w:t>
            </w:r>
          </w:p>
        </w:tc>
        <w:tc>
          <w:tcPr>
            <w:tcW w:type="dxa" w:w="1234"/>
          </w:tcPr>
          <w:p>
            <w:r>
              <w:t>Overweight (KSSO &gt;=23 / WHO &gt;=25, country-specific)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1.27 (95% CI 1.24 to 1.30)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37315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Overweight (KSSO &gt;=23 / WHO &gt;=25, country-specific)</w:t>
            </w:r>
          </w:p>
        </w:tc>
        <w:tc>
          <w:tcPr>
            <w:tcW w:type="dxa" w:w="2160"/>
          </w:tcPr>
          <w:p>
            <w:r>
              <w:t>Overweight (KSSO &gt;=23 / WHO &gt;=25, country-specific)</w:t>
            </w:r>
          </w:p>
        </w:tc>
      </w:tr>
      <w:tr>
        <w:tc>
          <w:tcPr>
            <w:tcW w:type="dxa" w:w="2160"/>
          </w:tcPr>
          <w:p>
            <w:r>
              <w:t>Age, years (exposure)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45.2</w:t>
            </w:r>
          </w:p>
        </w:tc>
        <w:tc>
          <w:tcPr>
            <w:tcW w:type="dxa" w:w="2160"/>
          </w:tcPr>
          <w:p>
            <w:r>
              <w:t>49.0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45.2</w:t>
            </w:r>
          </w:p>
        </w:tc>
        <w:tc>
          <w:tcPr>
            <w:tcW w:type="dxa" w:w="2160"/>
          </w:tcPr>
          <w:p>
            <w:r>
              <w:t>49.0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49.9%</w:t>
            </w:r>
          </w:p>
        </w:tc>
        <w:tc>
          <w:tcPr>
            <w:tcW w:type="dxa" w:w="2160"/>
          </w:tcPr>
          <w:p>
            <w:r>
              <w:t>39.3%</w:t>
            </w:r>
          </w:p>
        </w:tc>
        <w:tc>
          <w:tcPr>
            <w:tcW w:type="dxa" w:w="2160"/>
          </w:tcPr>
          <w:p>
            <w:r>
              <w:t>57.6%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37.5%</w:t>
            </w:r>
          </w:p>
        </w:tc>
        <w:tc>
          <w:tcPr>
            <w:tcW w:type="dxa" w:w="2160"/>
          </w:tcPr>
          <w:p>
            <w:r>
              <w:t>50.0%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90.3%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90.2%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