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Anemia (WHO) and Overweight (KSSO &gt;=23 / WHO &gt;=25, country-specific)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Anemia (WHO) was inversely associated with Overweight (KSSO &gt;=23 / WHO &gt;=25, country-specific) (odds ratio 0.62 (95% CI 0.56 to 0.67), false discovery rate q &lt;0.001) among 37315 adults aged 20 years or older (a weighted Overweight (KSSO &gt;=23 / WHO &gt;=25, country-specific) prevalence of 57.8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Overweight (KSSO &gt;=23 / WHO &gt;=25, country-specific)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0.62 (95% CI 0.56 to 0.67)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37315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Overweight (KSSO &gt;=23 / WHO &gt;=25, country-specific)</w:t>
            </w:r>
          </w:p>
        </w:tc>
        <w:tc>
          <w:tcPr>
            <w:tcW w:type="dxa" w:w="2160"/>
          </w:tcPr>
          <w:p>
            <w:r>
              <w:t>Overweight (KSSO &gt;=23 / WHO &gt;=25, country-specific)</w:t>
            </w:r>
          </w:p>
        </w:tc>
      </w:tr>
      <w:tr>
        <w:tc>
          <w:tcPr>
            <w:tcW w:type="dxa" w:w="2160"/>
          </w:tcPr>
          <w:p>
            <w:r>
              <w:t>Anemia (WHO) (exposure)</w:t>
            </w:r>
          </w:p>
        </w:tc>
        <w:tc>
          <w:tcPr>
            <w:tcW w:type="dxa" w:w="2160"/>
          </w:tcPr>
          <w:p>
            <w:r>
              <w:t>8.4%</w:t>
            </w:r>
          </w:p>
        </w:tc>
        <w:tc>
          <w:tcPr>
            <w:tcW w:type="dxa" w:w="2160"/>
          </w:tcPr>
          <w:p>
            <w:r>
              <w:t>11.3%</w:t>
            </w:r>
          </w:p>
        </w:tc>
        <w:tc>
          <w:tcPr>
            <w:tcW w:type="dxa" w:w="2160"/>
          </w:tcPr>
          <w:p>
            <w:r>
              <w:t>6.3%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45.2</w:t>
            </w:r>
          </w:p>
        </w:tc>
        <w:tc>
          <w:tcPr>
            <w:tcW w:type="dxa" w:w="2160"/>
          </w:tcPr>
          <w:p>
            <w:r>
              <w:t>49.0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  <w:tc>
          <w:tcPr>
            <w:tcW w:type="dxa" w:w="2160"/>
          </w:tcPr>
          <w:p>
            <w:r>
              <w:t>39.3%</w:t>
            </w:r>
          </w:p>
        </w:tc>
        <w:tc>
          <w:tcPr>
            <w:tcW w:type="dxa" w:w="2160"/>
          </w:tcPr>
          <w:p>
            <w:r>
              <w:t>57.6%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37.5%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90.3%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