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Overweight (KSSO &gt;=23 / WHO &gt;=25,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Current smoking was inversely associated with Overweight (KSSO &gt;=23 / WHO &gt;=25, country-specific) (odds ratio 0.92 (95% CI 0.86 to 1.00), false discovery rate q 0.049) among 37315 adults aged 20 years or older (a weighted Overweight (KSSO &gt;=23 / WHO &gt;=25, country-specific) prevalence of 57.8 percent, survey-weighted). Confounders: Age, years, Male sex,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0.92 (95% CI 0.86 to 1.00)</w:t>
            </w:r>
          </w:p>
        </w:tc>
        <w:tc>
          <w:tcPr>
            <w:tcW w:type="dxa" w:w="1234"/>
          </w:tcPr>
          <w:p>
            <w:r>
              <w:t>0.037</w:t>
            </w:r>
          </w:p>
        </w:tc>
        <w:tc>
          <w:tcPr>
            <w:tcW w:type="dxa" w:w="1234"/>
          </w:tcPr>
          <w:p>
            <w:r>
              <w:t>0.049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Current smoking (exposure)</w:t>
            </w:r>
          </w:p>
        </w:tc>
        <w:tc>
          <w:tcPr>
            <w:tcW w:type="dxa" w:w="2160"/>
          </w:tcPr>
          <w:p>
            <w:r>
              <w:t>22.2%</w:t>
            </w:r>
          </w:p>
        </w:tc>
        <w:tc>
          <w:tcPr>
            <w:tcW w:type="dxa" w:w="2160"/>
          </w:tcPr>
          <w:p>
            <w:r>
              <w:t>19.9%</w:t>
            </w:r>
          </w:p>
        </w:tc>
        <w:tc>
          <w:tcPr>
            <w:tcW w:type="dxa" w:w="2160"/>
          </w:tcPr>
          <w:p>
            <w:r>
              <w:t>24.0%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45.2</w:t>
            </w:r>
          </w:p>
        </w:tc>
        <w:tc>
          <w:tcPr>
            <w:tcW w:type="dxa" w:w="2160"/>
          </w:tcPr>
          <w:p>
            <w:r>
              <w:t>49.0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39.3%</w:t>
            </w:r>
          </w:p>
        </w:tc>
        <w:tc>
          <w:tcPr>
            <w:tcW w:type="dxa" w:w="2160"/>
          </w:tcPr>
          <w:p>
            <w:r>
              <w:t>57.6%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37.5%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