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Overweight (KSSO &gt;=23 / WHO &gt;=25, country-specific) (odds ratio per 1-SD 1.59 (95% CI 1.54 to 1.63),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1.59 (95% CI 1.54 to 1.63)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75.7</w:t>
            </w:r>
          </w:p>
        </w:tc>
        <w:tc>
          <w:tcPr>
            <w:tcW w:type="dxa" w:w="2160"/>
          </w:tcPr>
          <w:p>
            <w:r>
              <w:t>72.7</w:t>
            </w:r>
          </w:p>
        </w:tc>
        <w:tc>
          <w:tcPr>
            <w:tcW w:type="dxa" w:w="2160"/>
          </w:tcPr>
          <w:p>
            <w:r>
              <w:t>77.8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