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Overweight (KSSO &gt;=23 / WHO &gt;=25, country-specific) (odds ratio per 1-SD 0.84 (95% CI 0.80 to 0.87),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0.80 to 0.87)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101.0</w:t>
            </w:r>
          </w:p>
        </w:tc>
        <w:tc>
          <w:tcPr>
            <w:tcW w:type="dxa" w:w="2160"/>
          </w:tcPr>
          <w:p>
            <w:r>
              <w:t>103.8</w:t>
            </w:r>
          </w:p>
        </w:tc>
        <w:tc>
          <w:tcPr>
            <w:tcW w:type="dxa" w:w="2160"/>
          </w:tcPr>
          <w:p>
            <w:r>
              <w:t>99.0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