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Overweight (KSSO &gt;=23 / WHO &gt;=25, country-specific) (odds ratio 3.91 (95% CI 3.44 to 4.44),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3.91 (95% CI 3.44 to 4.44)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3.5%</w:t>
            </w:r>
          </w:p>
        </w:tc>
        <w:tc>
          <w:tcPr>
            <w:tcW w:type="dxa" w:w="2160"/>
          </w:tcPr>
          <w:p>
            <w:r>
              <w:t>13.9%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