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HOMA-IR and Overweight (KSSO &gt;=23 / WHO &gt;=25, country-specific)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HOMA-IR was positively associated with Overweight (KSSO &gt;=23 / WHO &gt;=25, country-specific) (odds ratio per 1-SD of log 2.67 (95% CI 2.52 to 2.82), false discovery rate q &lt;0.001) among 37315 adults aged 20 years or older (a weighted Overweight (KSSO &gt;=23 / WHO &gt;=25, country-specific) prevalence of 57.8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2.67 (95% CI 2.52 to 2.82)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37315</w:t>
            </w:r>
          </w:p>
        </w:tc>
      </w:tr>
    </w:tbl>
    <w:p>
      <w:r>
        <w:rPr>
          <w:i/>
        </w:rPr>
        <w:t>Footnote. HOMA-IR was natural-log transformed before per-1-SD standardization owing to its highly right-skewed distribution; the odds ratio is per 1-SD increase in the natural log of HOMA-IR.</w:t>
      </w:r>
    </w:p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Overweight (KSSO &gt;=23 / WHO &gt;=25, country-specific)</w:t>
            </w:r>
          </w:p>
        </w:tc>
        <w:tc>
          <w:tcPr>
            <w:tcW w:type="dxa" w:w="2160"/>
          </w:tcPr>
          <w:p>
            <w:r>
              <w:t>Overweight (KSSO &gt;=23 / WHO &gt;=25, country-specific)</w:t>
            </w:r>
          </w:p>
        </w:tc>
      </w:tr>
      <w:tr>
        <w:tc>
          <w:tcPr>
            <w:tcW w:type="dxa" w:w="2160"/>
          </w:tcPr>
          <w:p>
            <w:r>
              <w:t>HOMA-IR (exposure)</w:t>
            </w:r>
          </w:p>
        </w:tc>
        <w:tc>
          <w:tcPr>
            <w:tcW w:type="dxa" w:w="2160"/>
          </w:tcPr>
          <w:p>
            <w:r>
              <w:t>2.4</w:t>
            </w:r>
          </w:p>
        </w:tc>
        <w:tc>
          <w:tcPr>
            <w:tcW w:type="dxa" w:w="2160"/>
          </w:tcPr>
          <w:p>
            <w:r>
              <w:t>1.7</w:t>
            </w:r>
          </w:p>
        </w:tc>
        <w:tc>
          <w:tcPr>
            <w:tcW w:type="dxa" w:w="2160"/>
          </w:tcPr>
          <w:p>
            <w:r>
              <w:t>2.9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45.2</w:t>
            </w:r>
          </w:p>
        </w:tc>
        <w:tc>
          <w:tcPr>
            <w:tcW w:type="dxa" w:w="2160"/>
          </w:tcPr>
          <w:p>
            <w:r>
              <w:t>49.0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39.3%</w:t>
            </w:r>
          </w:p>
        </w:tc>
        <w:tc>
          <w:tcPr>
            <w:tcW w:type="dxa" w:w="2160"/>
          </w:tcPr>
          <w:p>
            <w:r>
              <w:t>57.6%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37.5%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90.3%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