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Overweight (KSSO &gt;=23 / WHO &gt;=25,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Hypertension was positively associated with Overweight (KSSO &gt;=23 / WHO &gt;=25, country-specific) (odds ratio 2.40 (95% CI 2.25 to 2.56), false discovery rate q &lt;0.001) among 37315 adults aged 20 years or older (a weighted Overweight (KSSO &gt;=23 / WHO &gt;=25, country-specific) prevalence of 57.8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2.40 (95% CI 2.25 to 2.56)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Hypertension (exposure)</w:t>
            </w:r>
          </w:p>
        </w:tc>
        <w:tc>
          <w:tcPr>
            <w:tcW w:type="dxa" w:w="2160"/>
          </w:tcPr>
          <w:p>
            <w:r>
              <w:t>27.2%</w:t>
            </w:r>
          </w:p>
        </w:tc>
        <w:tc>
          <w:tcPr>
            <w:tcW w:type="dxa" w:w="2160"/>
          </w:tcPr>
          <w:p>
            <w:r>
              <w:t>16.6%</w:t>
            </w:r>
          </w:p>
        </w:tc>
        <w:tc>
          <w:tcPr>
            <w:tcW w:type="dxa" w:w="2160"/>
          </w:tcPr>
          <w:p>
            <w:r>
              <w:t>34.9%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45.2</w:t>
            </w:r>
          </w:p>
        </w:tc>
        <w:tc>
          <w:tcPr>
            <w:tcW w:type="dxa" w:w="2160"/>
          </w:tcPr>
          <w:p>
            <w:r>
              <w:t>49.0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39.3%</w:t>
            </w:r>
          </w:p>
        </w:tc>
        <w:tc>
          <w:tcPr>
            <w:tcW w:type="dxa" w:w="2160"/>
          </w:tcPr>
          <w:p>
            <w:r>
              <w:t>57.6%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37.5%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