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Hypertriglyceridemia (NCEP TG&gt;=150) and Overweight (KSSO &gt;=23 / WHO &gt;=25, country-specific)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Hypertriglyceridemia (NCEP TG&gt;=150) was positively associated with Overweight (KSSO &gt;=23 / WHO &gt;=25, country-specific) (odds ratio 2.94 (95% CI 2.76 to 3.14), false discovery rate q &lt;0.001) among 37315 adults aged 20 years or older (a weighted Overweight (KSSO &gt;=23 / WHO &gt;=25, country-specific) prevalence of 57.8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 and alcohol. Adiposity measures are not used for adjustment.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Hypertriglyceridemia (NCEP TG&gt;=150)</w:t>
            </w:r>
          </w:p>
        </w:tc>
        <w:tc>
          <w:tcPr>
            <w:tcW w:type="dxa" w:w="1234"/>
          </w:tcPr>
          <w:p>
            <w:r>
              <w:t>Overweight (KSSO &gt;=23 / WHO &gt;=25, country-specific)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2.94 (95% CI 2.76 to 3.14)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37315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Overweight (KSSO &gt;=23 / WHO &gt;=25, country-specific)</w:t>
            </w:r>
          </w:p>
        </w:tc>
        <w:tc>
          <w:tcPr>
            <w:tcW w:type="dxa" w:w="2160"/>
          </w:tcPr>
          <w:p>
            <w:r>
              <w:t>Overweight (KSSO &gt;=23 / WHO &gt;=25, country-specific)</w:t>
            </w:r>
          </w:p>
        </w:tc>
      </w:tr>
      <w:tr>
        <w:tc>
          <w:tcPr>
            <w:tcW w:type="dxa" w:w="2160"/>
          </w:tcPr>
          <w:p>
            <w:r>
              <w:t>Hypertriglyceridemia (NCEP TG&gt;=150) (exposure)</w:t>
            </w:r>
          </w:p>
        </w:tc>
        <w:tc>
          <w:tcPr>
            <w:tcW w:type="dxa" w:w="2160"/>
          </w:tcPr>
          <w:p>
            <w:r>
              <w:t>29.5%</w:t>
            </w:r>
          </w:p>
        </w:tc>
        <w:tc>
          <w:tcPr>
            <w:tcW w:type="dxa" w:w="2160"/>
          </w:tcPr>
          <w:p>
            <w:r>
              <w:t>15.8%</w:t>
            </w:r>
          </w:p>
        </w:tc>
        <w:tc>
          <w:tcPr>
            <w:tcW w:type="dxa" w:w="2160"/>
          </w:tcPr>
          <w:p>
            <w:r>
              <w:t>39.3%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47.4</w:t>
            </w:r>
          </w:p>
        </w:tc>
        <w:tc>
          <w:tcPr>
            <w:tcW w:type="dxa" w:w="2160"/>
          </w:tcPr>
          <w:p>
            <w:r>
              <w:t>45.2</w:t>
            </w:r>
          </w:p>
        </w:tc>
        <w:tc>
          <w:tcPr>
            <w:tcW w:type="dxa" w:w="2160"/>
          </w:tcPr>
          <w:p>
            <w:r>
              <w:t>49.0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49.9%</w:t>
            </w:r>
          </w:p>
        </w:tc>
        <w:tc>
          <w:tcPr>
            <w:tcW w:type="dxa" w:w="2160"/>
          </w:tcPr>
          <w:p>
            <w:r>
              <w:t>39.3%</w:t>
            </w:r>
          </w:p>
        </w:tc>
        <w:tc>
          <w:tcPr>
            <w:tcW w:type="dxa" w:w="2160"/>
          </w:tcPr>
          <w:p>
            <w:r>
              <w:t>57.6%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44.7%</w:t>
            </w:r>
          </w:p>
        </w:tc>
        <w:tc>
          <w:tcPr>
            <w:tcW w:type="dxa" w:w="2160"/>
          </w:tcPr>
          <w:p>
            <w:r>
              <w:t>37.5%</w:t>
            </w:r>
          </w:p>
        </w:tc>
        <w:tc>
          <w:tcPr>
            <w:tcW w:type="dxa" w:w="2160"/>
          </w:tcPr>
          <w:p>
            <w:r>
              <w:t>50.0%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90.3%</w:t>
            </w:r>
          </w:p>
        </w:tc>
        <w:tc>
          <w:tcPr>
            <w:tcW w:type="dxa" w:w="2160"/>
          </w:tcPr>
          <w:p>
            <w:r>
              <w:t>90.5%</w:t>
            </w:r>
          </w:p>
        </w:tc>
        <w:tc>
          <w:tcPr>
            <w:tcW w:type="dxa" w:w="2160"/>
          </w:tcPr>
          <w:p>
            <w:r>
              <w:t>90.2%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