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Overweight (KSSO &gt;=23 / WHO &gt;=25, country-specific) (odds ratio per 1-SD 1.27 (95% CI 1.21 to 1.33),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1.21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110.5</w:t>
            </w:r>
          </w:p>
        </w:tc>
        <w:tc>
          <w:tcPr>
            <w:tcW w:type="dxa" w:w="2160"/>
          </w:tcPr>
          <w:p>
            <w:r>
              <w:t>118.1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