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Overweight (KSSO &gt;=23 / WHO &gt;=25, country-specific) (odds ratio per 1-SD 1.57 (95% CI 1.52 to 1.61),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1.52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128.4</w:t>
            </w:r>
          </w:p>
        </w:tc>
        <w:tc>
          <w:tcPr>
            <w:tcW w:type="dxa" w:w="2160"/>
          </w:tcPr>
          <w:p>
            <w:r>
              <w:t>145.1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