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Overweight (KSSO &gt;=23 / WHO &gt;=25, country-specific) (odds ratio per 1-SD 1.20 (95% CI 1.17 to 1.23),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1.17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255.5</w:t>
            </w:r>
          </w:p>
        </w:tc>
        <w:tc>
          <w:tcPr>
            <w:tcW w:type="dxa" w:w="2160"/>
          </w:tcPr>
          <w:p>
            <w:r>
              <w:t>259.9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