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Overweight (KSSO &gt;=23 / WHO &gt;=25, country-specific) (odds ratio 1.68 (95% CI 1.59 to 1.77),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1.68 (95% CI 1.59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32.2%</w:t>
            </w:r>
          </w:p>
        </w:tc>
        <w:tc>
          <w:tcPr>
            <w:tcW w:type="dxa" w:w="2160"/>
          </w:tcPr>
          <w:p>
            <w:r>
              <w:t>24.2%</w:t>
            </w:r>
          </w:p>
        </w:tc>
        <w:tc>
          <w:tcPr>
            <w:tcW w:type="dxa" w:w="2160"/>
          </w:tcPr>
          <w:p>
            <w:r>
              <w:t>38.0%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