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25(OH)D, ng/mL and Overweight (KSSO &gt;=23 / WHO &gt;=25, country-specific)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Serum 25(OH)D, ng/mL was inversely associated with Overweight (KSSO &gt;=23 / WHO &gt;=25, country-specific) (odds ratio per 1-SD 1.00 (95% CI 0.95 to 1.05), false discovery rate q 0.917) among 37315 adults aged 20 years or older (a weighted Overweight (KSSO &gt;=23 / WHO &gt;=25, country-specific) prevalence of 57.8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25(OH)D, ng/mL</w:t>
            </w:r>
          </w:p>
        </w:tc>
        <w:tc>
          <w:tcPr>
            <w:tcW w:type="dxa" w:w="1234"/>
          </w:tcPr>
          <w:p>
            <w:r>
              <w:t>Overweight (KSSO &gt;=23 / WHO &gt;=25, country-specific)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1.00 (95% CI 0.95 to 1.05)</w:t>
            </w:r>
          </w:p>
        </w:tc>
        <w:tc>
          <w:tcPr>
            <w:tcW w:type="dxa" w:w="1234"/>
          </w:tcPr>
          <w:p>
            <w:r>
              <w:t>0.903</w:t>
            </w:r>
          </w:p>
        </w:tc>
        <w:tc>
          <w:tcPr>
            <w:tcW w:type="dxa" w:w="1234"/>
          </w:tcPr>
          <w:p>
            <w:r>
              <w:t>0.917</w:t>
            </w:r>
          </w:p>
        </w:tc>
        <w:tc>
          <w:tcPr>
            <w:tcW w:type="dxa" w:w="1234"/>
          </w:tcPr>
          <w:p>
            <w:r>
              <w:t>37315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Overweight (KSSO &gt;=23 / WHO &gt;=25, country-specific)</w:t>
            </w:r>
          </w:p>
        </w:tc>
        <w:tc>
          <w:tcPr>
            <w:tcW w:type="dxa" w:w="2160"/>
          </w:tcPr>
          <w:p>
            <w:r>
              <w:t>Overweight (KSSO &gt;=23 / WHO &gt;=25, country-specific)</w:t>
            </w:r>
          </w:p>
        </w:tc>
      </w:tr>
      <w:tr>
        <w:tc>
          <w:tcPr>
            <w:tcW w:type="dxa" w:w="2160"/>
          </w:tcPr>
          <w:p>
            <w:r>
              <w:t>Serum 25(OH)D, ng/mL (exposure)</w:t>
            </w:r>
          </w:p>
        </w:tc>
        <w:tc>
          <w:tcPr>
            <w:tcW w:type="dxa" w:w="2160"/>
          </w:tcPr>
          <w:p>
            <w:r>
              <w:t>17.6</w:t>
            </w:r>
          </w:p>
        </w:tc>
        <w:tc>
          <w:tcPr>
            <w:tcW w:type="dxa" w:w="2160"/>
          </w:tcPr>
          <w:p>
            <w:r>
              <w:t>17.2</w:t>
            </w:r>
          </w:p>
        </w:tc>
        <w:tc>
          <w:tcPr>
            <w:tcW w:type="dxa" w:w="2160"/>
          </w:tcPr>
          <w:p>
            <w:r>
              <w:t>17.9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45.2</w:t>
            </w:r>
          </w:p>
        </w:tc>
        <w:tc>
          <w:tcPr>
            <w:tcW w:type="dxa" w:w="2160"/>
          </w:tcPr>
          <w:p>
            <w:r>
              <w:t>49.0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49.9%</w:t>
            </w:r>
          </w:p>
        </w:tc>
        <w:tc>
          <w:tcPr>
            <w:tcW w:type="dxa" w:w="2160"/>
          </w:tcPr>
          <w:p>
            <w:r>
              <w:t>39.3%</w:t>
            </w:r>
          </w:p>
        </w:tc>
        <w:tc>
          <w:tcPr>
            <w:tcW w:type="dxa" w:w="2160"/>
          </w:tcPr>
          <w:p>
            <w:r>
              <w:t>57.6%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37.5%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90.3%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