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Overweight (KSSO &gt;=23 / WHO &gt;=25, country-specific) (odds ratio per 1-SD 1.30 (95% CI 1.26 to 1.33),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1.26 to 1.33)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189.7</w:t>
            </w:r>
          </w:p>
        </w:tc>
        <w:tc>
          <w:tcPr>
            <w:tcW w:type="dxa" w:w="2160"/>
          </w:tcPr>
          <w:p>
            <w:r>
              <w:t>184.4</w:t>
            </w:r>
          </w:p>
        </w:tc>
        <w:tc>
          <w:tcPr>
            <w:tcW w:type="dxa" w:w="2160"/>
          </w:tcPr>
          <w:p>
            <w:r>
              <w:t>193.5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