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Overweight (KSSO &gt;=23 / WHO &gt;=25, country-specific) (odds ratio per 1-SD 2.09 (95% CI 1.95 to 2.24),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2.09 (95% CI 1.95 to 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135.7</w:t>
            </w:r>
          </w:p>
        </w:tc>
        <w:tc>
          <w:tcPr>
            <w:tcW w:type="dxa" w:w="2160"/>
          </w:tcPr>
          <w:p>
            <w:r>
              <w:t>104.4</w:t>
            </w:r>
          </w:p>
        </w:tc>
        <w:tc>
          <w:tcPr>
            <w:tcW w:type="dxa" w:w="2160"/>
          </w:tcPr>
          <w:p>
            <w:r>
              <w:t>158.3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