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Overweight (KSSO &gt;=23 / WHO &gt;=25,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Vitamin D deficiency (&lt;20 ng/mL) was positively associated with Overweight (KSSO &gt;=23 / WHO &gt;=25, country-specific) (odds ratio 1.02 (95% CI 0.92 to 1.13), false discovery rate q 0.698) among 37315 adults aged 20 years or older (a weighted Overweight (KSSO &gt;=23 / WHO &gt;=25, country-specific) prevalence of 57.8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1.02 (95% CI 0.92 to 1.13)</w:t>
            </w:r>
          </w:p>
        </w:tc>
        <w:tc>
          <w:tcPr>
            <w:tcW w:type="dxa" w:w="1234"/>
          </w:tcPr>
          <w:p>
            <w:r>
              <w:t>0.657</w:t>
            </w:r>
          </w:p>
        </w:tc>
        <w:tc>
          <w:tcPr>
            <w:tcW w:type="dxa" w:w="1234"/>
          </w:tcPr>
          <w:p>
            <w:r>
              <w:t>0.698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Vitamin D deficiency (&lt;20 ng/mL) (exposure)</w:t>
            </w:r>
          </w:p>
        </w:tc>
        <w:tc>
          <w:tcPr>
            <w:tcW w:type="dxa" w:w="2160"/>
          </w:tcPr>
          <w:p>
            <w:r>
              <w:t>70.4%</w:t>
            </w:r>
          </w:p>
        </w:tc>
        <w:tc>
          <w:tcPr>
            <w:tcW w:type="dxa" w:w="2160"/>
          </w:tcPr>
          <w:p>
            <w:r>
              <w:t>72.6%</w:t>
            </w:r>
          </w:p>
        </w:tc>
        <w:tc>
          <w:tcPr>
            <w:tcW w:type="dxa" w:w="2160"/>
          </w:tcPr>
          <w:p>
            <w:r>
              <w:t>68.7%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45.2</w:t>
            </w:r>
          </w:p>
        </w:tc>
        <w:tc>
          <w:tcPr>
            <w:tcW w:type="dxa" w:w="2160"/>
          </w:tcPr>
          <w:p>
            <w:r>
              <w:t>49.0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39.3%</w:t>
            </w:r>
          </w:p>
        </w:tc>
        <w:tc>
          <w:tcPr>
            <w:tcW w:type="dxa" w:w="2160"/>
          </w:tcPr>
          <w:p>
            <w:r>
              <w:t>57.6%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37.5%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