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Abdominal obesity and Prediabetes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Abdominal obesity was positively associated with Prediabetes (odds ratio 1.55 (95% CI 1.46 to 1.65), false discovery rate q &lt;0.001) among 35801 adults aged 20 years or older (a weighted Prediabetes prevalence of 32.2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1.55 (95% CI 1.46 to 1.65)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Prediabetes</w:t>
            </w:r>
          </w:p>
        </w:tc>
        <w:tc>
          <w:tcPr>
            <w:tcW w:type="dxa" w:w="2160"/>
          </w:tcPr>
          <w:p>
            <w:r>
              <w:t>Prediabetes</w:t>
            </w:r>
          </w:p>
        </w:tc>
      </w:tr>
      <w:tr>
        <w:tc>
          <w:tcPr>
            <w:tcW w:type="dxa" w:w="2160"/>
          </w:tcPr>
          <w:p>
            <w:r>
              <w:t>Abdominal obesity (exposure)</w:t>
            </w:r>
          </w:p>
        </w:tc>
        <w:tc>
          <w:tcPr>
            <w:tcW w:type="dxa" w:w="2160"/>
          </w:tcPr>
          <w:p>
            <w:r>
              <w:t>30.1%</w:t>
            </w:r>
          </w:p>
        </w:tc>
        <w:tc>
          <w:tcPr>
            <w:tcW w:type="dxa" w:w="2160"/>
          </w:tcPr>
          <w:p>
            <w:r>
              <w:t>25.8%</w:t>
            </w:r>
          </w:p>
        </w:tc>
        <w:tc>
          <w:tcPr>
            <w:tcW w:type="dxa" w:w="2160"/>
          </w:tcPr>
          <w:p>
            <w:r>
              <w:t>39.0%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44.9</w:t>
            </w:r>
          </w:p>
        </w:tc>
        <w:tc>
          <w:tcPr>
            <w:tcW w:type="dxa" w:w="2160"/>
          </w:tcPr>
          <w:p>
            <w:r>
              <w:t>52.5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54.8%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24.8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89.6%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