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Alanine aminotransferase, IU/L and Prediabetes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Alanine aminotransferase, IU/L was positively associated with Prediabetes (odds ratio per 1-SD 1.10 (95% CI 1.07 to 1.14), false discovery rate q &lt;0.001) among 35801 adults aged 20 years or older (a weighted Prediabetes prevalence of 32.2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1.10 (95% CI 1.07 to 1.14)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Prediabetes</w:t>
            </w:r>
          </w:p>
        </w:tc>
        <w:tc>
          <w:tcPr>
            <w:tcW w:type="dxa" w:w="2160"/>
          </w:tcPr>
          <w:p>
            <w:r>
              <w:t>Prediabetes</w:t>
            </w:r>
          </w:p>
        </w:tc>
      </w:tr>
      <w:tr>
        <w:tc>
          <w:tcPr>
            <w:tcW w:type="dxa" w:w="2160"/>
          </w:tcPr>
          <w:p>
            <w:r>
              <w:t>Alanine aminotransferase, IU/L (exposure)</w:t>
            </w:r>
          </w:p>
        </w:tc>
        <w:tc>
          <w:tcPr>
            <w:tcW w:type="dxa" w:w="2160"/>
          </w:tcPr>
          <w:p>
            <w:r>
              <w:t>23.1</w:t>
            </w:r>
          </w:p>
        </w:tc>
        <w:tc>
          <w:tcPr>
            <w:tcW w:type="dxa" w:w="2160"/>
          </w:tcPr>
          <w:p>
            <w:r>
              <w:t>21.8</w:t>
            </w:r>
          </w:p>
        </w:tc>
        <w:tc>
          <w:tcPr>
            <w:tcW w:type="dxa" w:w="2160"/>
          </w:tcPr>
          <w:p>
            <w:r>
              <w:t>25.6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44.9</w:t>
            </w:r>
          </w:p>
        </w:tc>
        <w:tc>
          <w:tcPr>
            <w:tcW w:type="dxa" w:w="2160"/>
          </w:tcPr>
          <w:p>
            <w:r>
              <w:t>52.5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54.8%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24.8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89.6%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