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Prediabetes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 mass, kg was positively associated with Prediabetes (odds ratio per 1-SD 1.67 (95% CI 1.47 to 1.89), false discovery rate q &lt;0.001) among 35801 adults aged 20 years or older (a weighted Prediabetes prevalence of 32.2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1.67 (95% CI 1.47 to 1.89)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Appendicular skeletal muscle mass, kg (exposure)</w:t>
            </w:r>
          </w:p>
        </w:tc>
        <w:tc>
          <w:tcPr>
            <w:tcW w:type="dxa" w:w="2160"/>
          </w:tcPr>
          <w:p>
            <w:r>
              <w:t>19.6</w:t>
            </w:r>
          </w:p>
        </w:tc>
        <w:tc>
          <w:tcPr>
            <w:tcW w:type="dxa" w:w="2160"/>
          </w:tcPr>
          <w:p>
            <w:r>
              <w:t>19.3</w:t>
            </w:r>
          </w:p>
        </w:tc>
        <w:tc>
          <w:tcPr>
            <w:tcW w:type="dxa" w:w="2160"/>
          </w:tcPr>
          <w:p>
            <w:r>
              <w:t>20.6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44.9</w:t>
            </w:r>
          </w:p>
        </w:tc>
        <w:tc>
          <w:tcPr>
            <w:tcW w:type="dxa" w:w="2160"/>
          </w:tcPr>
          <w:p>
            <w:r>
              <w:t>52.5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89.6%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