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positively associated with Prediabetes (odds ratio 1.33 (95% CI 1.25 to 1.41), false discovery rate q &lt;0.001) among 35801 adults aged 20 years or older (a weighted Prediabetes prevalence of 32.2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1.33 (95% CI 1.25 to 1.41)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Hypertriglyceridemia (NCEP TG&gt;=150) (exposure)</w:t>
            </w:r>
          </w:p>
        </w:tc>
        <w:tc>
          <w:tcPr>
            <w:tcW w:type="dxa" w:w="2160"/>
          </w:tcPr>
          <w:p>
            <w:r>
              <w:t>29.5%</w:t>
            </w:r>
          </w:p>
        </w:tc>
        <w:tc>
          <w:tcPr>
            <w:tcW w:type="dxa" w:w="2160"/>
          </w:tcPr>
          <w:p>
            <w:r>
              <w:t>25.6%</w:t>
            </w:r>
          </w:p>
        </w:tc>
        <w:tc>
          <w:tcPr>
            <w:tcW w:type="dxa" w:w="2160"/>
          </w:tcPr>
          <w:p>
            <w:r>
              <w:t>37.8%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