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Low muscle mass (low ASMI, AWGS cut) and Prediabetes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Low muscle mass (low ASMI, AWGS cut) was inversely associated with Prediabetes (odds ratio 0.61 (95% CI 0.47 to 0.80), false discovery rate q &lt;0.001) among 35801 adults aged 20 years or older (a weighted Prediabetes prevalence of 32.2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and insulin-resistance measures are excluded as definitional or mediating.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Low muscle mass (low ASMI, AWGS cut)</w:t>
            </w:r>
          </w:p>
        </w:tc>
        <w:tc>
          <w:tcPr>
            <w:tcW w:type="dxa" w:w="1234"/>
          </w:tcPr>
          <w:p>
            <w:r>
              <w:t>Prediabetes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0.61 (95% CI 0.47 to 0.80)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35801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Prediabetes</w:t>
            </w:r>
          </w:p>
        </w:tc>
        <w:tc>
          <w:tcPr>
            <w:tcW w:type="dxa" w:w="2160"/>
          </w:tcPr>
          <w:p>
            <w:r>
              <w:t>Prediabetes</w:t>
            </w:r>
          </w:p>
        </w:tc>
      </w:tr>
      <w:tr>
        <w:tc>
          <w:tcPr>
            <w:tcW w:type="dxa" w:w="2160"/>
          </w:tcPr>
          <w:p>
            <w:r>
              <w:t>Low muscle mass (low ASMI, AWGS cut) (exposure)</w:t>
            </w:r>
          </w:p>
        </w:tc>
        <w:tc>
          <w:tcPr>
            <w:tcW w:type="dxa" w:w="2160"/>
          </w:tcPr>
          <w:p>
            <w:r>
              <w:t>12.2%</w:t>
            </w:r>
          </w:p>
        </w:tc>
        <w:tc>
          <w:tcPr>
            <w:tcW w:type="dxa" w:w="2160"/>
          </w:tcPr>
          <w:p>
            <w:r>
              <w:t>13.1%</w:t>
            </w:r>
          </w:p>
        </w:tc>
        <w:tc>
          <w:tcPr>
            <w:tcW w:type="dxa" w:w="2160"/>
          </w:tcPr>
          <w:p>
            <w:r>
              <w:t>8.8%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44.9</w:t>
            </w:r>
          </w:p>
        </w:tc>
        <w:tc>
          <w:tcPr>
            <w:tcW w:type="dxa" w:w="2160"/>
          </w:tcPr>
          <w:p>
            <w:r>
              <w:t>52.5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50.1%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54.8%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23.6</w:t>
            </w:r>
          </w:p>
        </w:tc>
        <w:tc>
          <w:tcPr>
            <w:tcW w:type="dxa" w:w="2160"/>
          </w:tcPr>
          <w:p>
            <w:r>
              <w:t>24.8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44.8%</w:t>
            </w:r>
          </w:p>
        </w:tc>
        <w:tc>
          <w:tcPr>
            <w:tcW w:type="dxa" w:w="2160"/>
          </w:tcPr>
          <w:p>
            <w:r>
              <w:t>42.6%</w:t>
            </w:r>
          </w:p>
        </w:tc>
        <w:tc>
          <w:tcPr>
            <w:tcW w:type="dxa" w:w="2160"/>
          </w:tcPr>
          <w:p>
            <w:r>
              <w:t>49.4%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90.9%</w:t>
            </w:r>
          </w:p>
        </w:tc>
        <w:tc>
          <w:tcPr>
            <w:tcW w:type="dxa" w:w="2160"/>
          </w:tcPr>
          <w:p>
            <w:r>
              <w:t>89.6%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