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Prediabetes (odds ratio 1.08 (95% CI 0.96 to 1.22), false discovery rate q 0.231)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0.96 to 1.22)</w:t>
            </w:r>
          </w:p>
        </w:tc>
        <w:tc>
          <w:tcPr>
            <w:tcW w:type="dxa" w:w="1234"/>
          </w:tcPr>
          <w:p>
            <w:r>
              <w:t>0.193</w:t>
            </w:r>
          </w:p>
        </w:tc>
        <w:tc>
          <w:tcPr>
            <w:tcW w:type="dxa" w:w="1234"/>
          </w:tcPr>
          <w:p>
            <w:r>
              <w:t>0.231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70.5%</w:t>
            </w:r>
          </w:p>
        </w:tc>
        <w:tc>
          <w:tcPr>
            <w:tcW w:type="dxa" w:w="2160"/>
          </w:tcPr>
          <w:p>
            <w:r>
              <w:t>71.4%</w:t>
            </w:r>
          </w:p>
        </w:tc>
        <w:tc>
          <w:tcPr>
            <w:tcW w:type="dxa" w:w="2160"/>
          </w:tcPr>
          <w:p>
            <w:r>
              <w:t>68.1%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