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inversely associated with Serum 25(OH)D, ng/mL (beta coefficient per 1-SD -0.07 (95% CI -0.19 to 0.06), false discovery rate q 0.352)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-0.19 to 0.06)</w:t>
            </w:r>
          </w:p>
        </w:tc>
        <w:tc>
          <w:tcPr>
            <w:tcW w:type="dxa" w:w="1234"/>
          </w:tcPr>
          <w:p>
            <w:r>
              <w:t>0.304</w:t>
            </w:r>
          </w:p>
        </w:tc>
        <w:tc>
          <w:tcPr>
            <w:tcW w:type="dxa" w:w="1234"/>
          </w:tcPr>
          <w:p>
            <w:r>
              <w:t>0.352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22.2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