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Serum 25(OH)D, ng/mL (beta coefficient per 1-SD -0.05 (95% CI -0.18 to 0.08), false discovery rate q 0.466) among 12088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-0.18 to 0.08)</w:t>
            </w:r>
          </w:p>
        </w:tc>
        <w:tc>
          <w:tcPr>
            <w:tcW w:type="dxa" w:w="1234"/>
          </w:tcPr>
          <w:p>
            <w:r>
              <w:t>0.416</w:t>
            </w:r>
          </w:p>
        </w:tc>
        <w:tc>
          <w:tcPr>
            <w:tcW w:type="dxa" w:w="1234"/>
          </w:tcPr>
          <w:p>
            <w:r>
              <w:t>0.466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