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Serum 25(OH)D, ng/mL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Diabetes mellitus was inversely associated with Serum 25(OH)D, ng/mL (beta coefficient -0.57 (95% CI -1.04 to -0.10), false discovery rate q 0.025) among 12088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-0.57 (95% CI -1.04 to -0.10)</w:t>
            </w:r>
          </w:p>
        </w:tc>
        <w:tc>
          <w:tcPr>
            <w:tcW w:type="dxa" w:w="1234"/>
          </w:tcPr>
          <w:p>
            <w:r>
              <w:t>0.018</w:t>
            </w:r>
          </w:p>
        </w:tc>
        <w:tc>
          <w:tcPr>
            <w:tcW w:type="dxa" w:w="1234"/>
          </w:tcPr>
          <w:p>
            <w:r>
              <w:t>0.025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Diabetes mellitus (exposure)</w:t>
            </w:r>
          </w:p>
        </w:tc>
        <w:tc>
          <w:tcPr>
            <w:tcW w:type="dxa" w:w="4320"/>
          </w:tcPr>
          <w:p>
            <w:r>
              <w:t>9.3%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44.7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51.1%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47.7%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