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inversely associated with Serum 25(OH)D, ng/mL (beta coefficient -0.50 (95% CI -1.01 to 0.01), false discovery rate q 0.068)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-0.50 (95% CI -1.01 to 0.01)</w:t>
            </w:r>
          </w:p>
        </w:tc>
        <w:tc>
          <w:tcPr>
            <w:tcW w:type="dxa" w:w="1234"/>
          </w:tcPr>
          <w:p>
            <w:r>
              <w:t>0.053</w:t>
            </w:r>
          </w:p>
        </w:tc>
        <w:tc>
          <w:tcPr>
            <w:tcW w:type="dxa" w:w="1234"/>
          </w:tcPr>
          <w:p>
            <w:r>
              <w:t>0.068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8.9%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