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Height, cm was inversely associated with Serum 25(OH)D, ng/mL (beta coefficient per 1-SD -0.07 (95% CI -0.31 to 0.17), false discovery rate q 0.604) among 12088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-0.07 (95% CI -0.31 to 0.17)</w:t>
            </w:r>
          </w:p>
        </w:tc>
        <w:tc>
          <w:tcPr>
            <w:tcW w:type="dxa" w:w="1234"/>
          </w:tcPr>
          <w:p>
            <w:r>
              <w:t>0.557</w:t>
            </w:r>
          </w:p>
        </w:tc>
        <w:tc>
          <w:tcPr>
            <w:tcW w:type="dxa" w:w="1234"/>
          </w:tcPr>
          <w:p>
            <w:r>
              <w:t>0.604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Height, cm (exposure)</w:t>
            </w:r>
          </w:p>
        </w:tc>
        <w:tc>
          <w:tcPr>
            <w:tcW w:type="dxa" w:w="4320"/>
          </w:tcPr>
          <w:p>
            <w:r>
              <w:t>164.3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