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inversely associated with Serum 25(OH)D, ng/mL (beta coefficient -0.61 (95% CI -1.78 to 0.55), false discovery rate q 0.350)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-0.61 (95% CI -1.78 to 0.55)</w:t>
            </w:r>
          </w:p>
        </w:tc>
        <w:tc>
          <w:tcPr>
            <w:tcW w:type="dxa" w:w="1234"/>
          </w:tcPr>
          <w:p>
            <w:r>
              <w:t>0.302</w:t>
            </w:r>
          </w:p>
        </w:tc>
        <w:tc>
          <w:tcPr>
            <w:tcW w:type="dxa" w:w="1234"/>
          </w:tcPr>
          <w:p>
            <w:r>
              <w:t>0.350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