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positively associated with Serum 25(OH)D, ng/mL (beta coefficient per 1-SD 0.08 (95% CI -0.06 to 0.22), false discovery rate q 0.284) among 12088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0.08 (95% CI -0.06 to 0.22)</w:t>
            </w:r>
          </w:p>
        </w:tc>
        <w:tc>
          <w:tcPr>
            <w:tcW w:type="dxa" w:w="1234"/>
          </w:tcPr>
          <w:p>
            <w:r>
              <w:t>0.242</w:t>
            </w:r>
          </w:p>
        </w:tc>
        <w:tc>
          <w:tcPr>
            <w:tcW w:type="dxa" w:w="1234"/>
          </w:tcPr>
          <w:p>
            <w:r>
              <w:t>0.284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138.3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