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Serum 25(OH)D, ng/mL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Overweight (KSSO &gt;=23 / WHO &gt;=25, country-specific) was inversely associated with Serum 25(OH)D, ng/mL (beta coefficient -0.02 (95% CI -0.30 to 0.27), false discovery rate q 0.927) among 12088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-0.02 (95% CI -0.30 to 0.27)</w:t>
            </w:r>
          </w:p>
        </w:tc>
        <w:tc>
          <w:tcPr>
            <w:tcW w:type="dxa" w:w="1234"/>
          </w:tcPr>
          <w:p>
            <w:r>
              <w:t>0.916</w:t>
            </w:r>
          </w:p>
        </w:tc>
        <w:tc>
          <w:tcPr>
            <w:tcW w:type="dxa" w:w="1234"/>
          </w:tcPr>
          <w:p>
            <w:r>
              <w:t>0.927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Overweight (KSSO &gt;=23 / WHO &gt;=25, country-specific) (exposure)</w:t>
            </w:r>
          </w:p>
        </w:tc>
        <w:tc>
          <w:tcPr>
            <w:tcW w:type="dxa" w:w="4320"/>
          </w:tcPr>
          <w:p>
            <w:r>
              <w:t>56.6%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44.7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47.7%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