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Serum 25(OH)D, ng/mL (beta coefficient per 1-SD 0.07 (95% CI -0.09 to 0.22), false discovery rate q 0.437)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-0.09 to 0.22)</w:t>
            </w:r>
          </w:p>
        </w:tc>
        <w:tc>
          <w:tcPr>
            <w:tcW w:type="dxa" w:w="1234"/>
          </w:tcPr>
          <w:p>
            <w:r>
              <w:t>0.385</w:t>
            </w:r>
          </w:p>
        </w:tc>
        <w:tc>
          <w:tcPr>
            <w:tcW w:type="dxa" w:w="1234"/>
          </w:tcPr>
          <w:p>
            <w:r>
              <w:t>0.437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