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inversely associated with Serum 25(OH)D, ng/mL (beta coefficient per 1-SD -0.05 (95% CI -0.19 to 0.09), false discovery rate q 0.544)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-0.19 to 0.09)</w:t>
            </w:r>
          </w:p>
        </w:tc>
        <w:tc>
          <w:tcPr>
            <w:tcW w:type="dxa" w:w="1234"/>
          </w:tcPr>
          <w:p>
            <w:r>
              <w:t>0.496</w:t>
            </w:r>
          </w:p>
        </w:tc>
        <w:tc>
          <w:tcPr>
            <w:tcW w:type="dxa" w:w="1234"/>
          </w:tcPr>
          <w:p>
            <w:r>
              <w:t>0.544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