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Abdominal obesity was positively associated with Serum creatinine, mg/dL (beta coefficient 0.01 (95% CI 0.00 to 0.01), false discovery rate q 0.045) among 32444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0.00 to 0.01)</w:t>
            </w:r>
          </w:p>
        </w:tc>
        <w:tc>
          <w:tcPr>
            <w:tcW w:type="dxa" w:w="1234"/>
          </w:tcPr>
          <w:p>
            <w:r>
              <w:t>0.033</w:t>
            </w:r>
          </w:p>
        </w:tc>
        <w:tc>
          <w:tcPr>
            <w:tcW w:type="dxa" w:w="1234"/>
          </w:tcPr>
          <w:p>
            <w:r>
              <w:t>0.045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Abdominal obesity (exposure)</w:t>
            </w:r>
          </w:p>
        </w:tc>
        <w:tc>
          <w:tcPr>
            <w:tcW w:type="dxa" w:w="4320"/>
          </w:tcPr>
          <w:p>
            <w:r>
              <w:t>30.2%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