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FIB-4 index and Serum creatinine,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FIB-4 index was positively associated with Serum creatinine, mg/dL (beta coefficient per 1-SD 0.00 (95% CI 0.00 to 0.01), false discovery rate q 0.035) among 32444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0.00 (95% CI 0.00 to 0.01)</w:t>
            </w:r>
          </w:p>
        </w:tc>
        <w:tc>
          <w:tcPr>
            <w:tcW w:type="dxa" w:w="1234"/>
          </w:tcPr>
          <w:p>
            <w:r>
              <w:t>0.026</w:t>
            </w:r>
          </w:p>
        </w:tc>
        <w:tc>
          <w:tcPr>
            <w:tcW w:type="dxa" w:w="1234"/>
          </w:tcPr>
          <w:p>
            <w:r>
              <w:t>0.035</w:t>
            </w:r>
          </w:p>
        </w:tc>
        <w:tc>
          <w:tcPr>
            <w:tcW w:type="dxa" w:w="1234"/>
          </w:tcPr>
          <w:p>
            <w:r>
              <w:t>32444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FIB-4 index (exposure)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