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positively associated with Serum creatinine, mg/dL (beta coefficient per 1-SD of log 0.00 (95% CI -0.01 to 0.02), false discovery rate q 0.875)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-0.01 to 0.02)</w:t>
            </w:r>
          </w:p>
        </w:tc>
        <w:tc>
          <w:tcPr>
            <w:tcW w:type="dxa" w:w="1234"/>
          </w:tcPr>
          <w:p>
            <w:r>
              <w:t>0.852</w:t>
            </w:r>
          </w:p>
        </w:tc>
        <w:tc>
          <w:tcPr>
            <w:tcW w:type="dxa" w:w="1234"/>
          </w:tcPr>
          <w:p>
            <w:r>
              <w:t>0.875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9.6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