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positively associated with Serum creatinine, mg/dL (beta coefficient per 1-SD 0.00 (95% CI -0.00 to 0.01), false discovery rate q 0.357)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0.01)</w:t>
            </w:r>
          </w:p>
        </w:tc>
        <w:tc>
          <w:tcPr>
            <w:tcW w:type="dxa" w:w="1234"/>
          </w:tcPr>
          <w:p>
            <w:r>
              <w:t>0.309</w:t>
            </w:r>
          </w:p>
        </w:tc>
        <w:tc>
          <w:tcPr>
            <w:tcW w:type="dxa" w:w="1234"/>
          </w:tcPr>
          <w:p>
            <w:r>
              <w:t>0.357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