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inversely associated with Serum creatinine, mg/dL (beta coefficient per 1-SD of log -0.00 (95% CI -0.02 to 0.01), false discovery rate q 0.698)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-0.02 to 0.01)</w:t>
            </w:r>
          </w:p>
        </w:tc>
        <w:tc>
          <w:tcPr>
            <w:tcW w:type="dxa" w:w="1234"/>
          </w:tcPr>
          <w:p>
            <w:r>
              <w:t>0.657</w:t>
            </w:r>
          </w:p>
        </w:tc>
        <w:tc>
          <w:tcPr>
            <w:tcW w:type="dxa" w:w="1234"/>
          </w:tcPr>
          <w:p>
            <w:r>
              <w:t>0.698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